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1830"/>
        <w:gridCol w:w="7185"/>
      </w:tblGrid>
      <w:tr w:rsidR="6154B030" w:rsidTr="6154B030" w14:paraId="6D7ADABC">
        <w:tc>
          <w:tcPr>
            <w:tcW w:w="9015" w:type="dxa"/>
            <w:gridSpan w:val="2"/>
            <w:tcMar/>
            <w:vAlign w:val="top"/>
          </w:tcPr>
          <w:p w:rsidR="6154B030" w:rsidP="6154B030" w:rsidRDefault="6154B030" w14:paraId="3FA6C5CC" w14:textId="1711718C">
            <w:pPr>
              <w:spacing w:line="259"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8"/>
                <w:szCs w:val="28"/>
                <w:lang w:val="da-DK"/>
              </w:rPr>
            </w:pPr>
            <w:r w:rsidRPr="6154B030" w:rsidR="6154B030">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8"/>
                <w:szCs w:val="28"/>
                <w:u w:val="single"/>
                <w:lang w:val="da-DK"/>
              </w:rPr>
              <w:t>Øvelse 2 - Hjerne hjælper hænder</w:t>
            </w:r>
          </w:p>
          <w:p w:rsidR="6154B030" w:rsidP="6154B030" w:rsidRDefault="6154B030" w14:paraId="19B0AC32" w14:textId="5B480F7C">
            <w:pPr>
              <w:pStyle w:val="Normal"/>
              <w:spacing w:line="259" w:lineRule="auto"/>
              <w:jc w:val="center"/>
              <w:rPr>
                <w:rFonts w:ascii="Calibri" w:hAnsi="Calibri" w:eastAsia="Calibri" w:cs="Calibri" w:asciiTheme="minorAscii" w:hAnsiTheme="minorAscii" w:eastAsiaTheme="minorAscii" w:cstheme="minorAscii"/>
                <w:b w:val="0"/>
                <w:bCs w:val="0"/>
                <w:i w:val="1"/>
                <w:iCs w:val="1"/>
                <w:caps w:val="0"/>
                <w:smallCaps w:val="0"/>
                <w:strike w:val="0"/>
                <w:dstrike w:val="0"/>
                <w:color w:val="000000" w:themeColor="text1" w:themeTint="FF" w:themeShade="FF"/>
                <w:sz w:val="28"/>
                <w:szCs w:val="28"/>
                <w:u w:val="none"/>
                <w:lang w:val="da-DK"/>
              </w:rPr>
            </w:pPr>
            <w:r w:rsidRPr="6154B030" w:rsidR="6154B030">
              <w:rPr>
                <w:rFonts w:ascii="Calibri" w:hAnsi="Calibri" w:eastAsia="Calibri" w:cs="Calibri" w:asciiTheme="minorAscii" w:hAnsiTheme="minorAscii" w:eastAsiaTheme="minorAscii" w:cstheme="minorAscii"/>
                <w:b w:val="0"/>
                <w:bCs w:val="0"/>
                <w:i w:val="1"/>
                <w:iCs w:val="1"/>
                <w:caps w:val="0"/>
                <w:smallCaps w:val="0"/>
                <w:strike w:val="0"/>
                <w:dstrike w:val="0"/>
                <w:color w:val="000000" w:themeColor="text1" w:themeTint="FF" w:themeShade="FF"/>
                <w:sz w:val="22"/>
                <w:szCs w:val="22"/>
                <w:u w:val="none"/>
                <w:lang w:val="da-DK"/>
              </w:rPr>
              <w:t>Køkkenværksted</w:t>
            </w:r>
          </w:p>
        </w:tc>
      </w:tr>
      <w:tr w:rsidR="6154B030" w:rsidTr="6154B030" w14:paraId="2D16BEDB">
        <w:tc>
          <w:tcPr>
            <w:tcW w:w="1830" w:type="dxa"/>
            <w:tcMar/>
            <w:vAlign w:val="top"/>
          </w:tcPr>
          <w:p w:rsidR="6154B030" w:rsidP="6154B030" w:rsidRDefault="6154B030" w14:paraId="07D6F173" w14:textId="240710DD">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da-DK"/>
              </w:rPr>
            </w:pPr>
            <w:r w:rsidRPr="6154B030" w:rsidR="6154B030">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single"/>
                <w:lang w:val="da-DK"/>
              </w:rPr>
              <w:t>Erhvervsfag</w:t>
            </w:r>
          </w:p>
        </w:tc>
        <w:tc>
          <w:tcPr>
            <w:tcW w:w="7185" w:type="dxa"/>
            <w:tcMar/>
            <w:vAlign w:val="top"/>
          </w:tcPr>
          <w:p w:rsidR="6154B030" w:rsidP="6154B030" w:rsidRDefault="6154B030" w14:paraId="55258C32" w14:textId="53C0F9E3">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da-DK"/>
              </w:rPr>
            </w:pPr>
            <w:r w:rsidRPr="6154B030" w:rsidR="6154B030">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single"/>
                <w:lang w:val="da-DK"/>
              </w:rPr>
              <w:t>Faglig kommunikation</w:t>
            </w:r>
          </w:p>
          <w:p w:rsidR="6154B030" w:rsidP="6154B030" w:rsidRDefault="6154B030" w14:paraId="09D91EDD" w14:textId="7965F34E">
            <w:pPr>
              <w:spacing w:line="259" w:lineRule="auto"/>
              <w:jc w:val="left"/>
              <w:rPr>
                <w:rFonts w:ascii="Calibri" w:hAnsi="Calibri" w:eastAsia="Calibri" w:cs="Calibri" w:asciiTheme="minorAscii" w:hAnsiTheme="minorAscii" w:eastAsiaTheme="minorAscii" w:cstheme="minorAscii"/>
                <w:b w:val="0"/>
                <w:bCs w:val="0"/>
                <w:i w:val="0"/>
                <w:iCs w:val="0"/>
                <w:caps w:val="0"/>
                <w:smallCaps w:val="0"/>
                <w:color w:val="212529"/>
                <w:sz w:val="22"/>
                <w:szCs w:val="22"/>
              </w:rPr>
            </w:pP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color w:val="212529"/>
                <w:sz w:val="22"/>
                <w:szCs w:val="22"/>
                <w:u w:val="single"/>
                <w:lang w:val="da-DK"/>
              </w:rPr>
              <w:t>Niveau 1:</w:t>
            </w:r>
          </w:p>
          <w:p w:rsidR="7336D8A2" w:rsidP="6154B030" w:rsidRDefault="7336D8A2" w14:paraId="091D471F" w14:textId="0F3CB27B">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pPr>
            <w:r w:rsidRPr="6154B030" w:rsidR="7336D8A2">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t>1. Forstå og anvende faglige udtryk og begreber.</w:t>
            </w:r>
          </w:p>
          <w:p w:rsidR="7336D8A2" w:rsidP="6154B030" w:rsidRDefault="7336D8A2" w14:paraId="1279152D" w14:textId="1C655D58">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pPr>
            <w:r w:rsidRPr="6154B030" w:rsidR="7336D8A2">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t>2. Fremsøge og anvende relevante informationer og procedurebeskrivelser i relation til erhvervsfaglige opgaver.</w:t>
            </w:r>
          </w:p>
          <w:p w:rsidR="7336D8A2" w:rsidP="6154B030" w:rsidRDefault="7336D8A2" w14:paraId="595D18FC" w14:textId="403CF0F9">
            <w:pPr>
              <w:pStyle w:val="Normal"/>
              <w:spacing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154B030" w:rsidR="7336D8A2">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t>3. Anvende forskellige kommunikationsformer og -metoder, der er afpasset modtageren og den givne opgave, herunder tale, sociale medier, SMS, e-mails og andre skriftlige dokumenter</w:t>
            </w:r>
          </w:p>
          <w:p w:rsidR="6154B030" w:rsidP="6154B030" w:rsidRDefault="6154B030" w14:paraId="594A0F81" w14:textId="0D86C172">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da-DK"/>
              </w:rPr>
            </w:pPr>
          </w:p>
        </w:tc>
      </w:tr>
      <w:tr w:rsidR="6154B030" w:rsidTr="6154B030" w14:paraId="3AB32FF6">
        <w:tc>
          <w:tcPr>
            <w:tcW w:w="1830" w:type="dxa"/>
            <w:tcMar/>
            <w:vAlign w:val="top"/>
          </w:tcPr>
          <w:p w:rsidR="6154B030" w:rsidP="6154B030" w:rsidRDefault="6154B030" w14:paraId="7A92D307" w14:textId="0C41694B">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da-DK"/>
              </w:rPr>
            </w:pPr>
            <w:r w:rsidRPr="6154B030" w:rsidR="6154B030">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single"/>
                <w:lang w:val="da-DK"/>
              </w:rPr>
              <w:t>Formål og udgangspunkt for øvelsen</w:t>
            </w:r>
          </w:p>
        </w:tc>
        <w:tc>
          <w:tcPr>
            <w:tcW w:w="7185" w:type="dxa"/>
            <w:tcMar/>
            <w:vAlign w:val="top"/>
          </w:tcPr>
          <w:p w:rsidR="6154B030" w:rsidP="6154B030" w:rsidRDefault="6154B030" w14:paraId="627F67B6" w14:textId="1F0181CD">
            <w:pPr>
              <w:pStyle w:val="Normal"/>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pP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Øvelsen skal lære og tydeliggøre for eleverne, hvordan der kommunikeres fagligt i et køkken. Gennem øvelsens forløb kommer eleverne til at stifte bekendtskab med nye fagtermer og se behovet for klar og tydelig kommunikation. Det er vigtigt øvelsen foregår i et værksted, men det producerede er underordnet. </w:t>
            </w:r>
            <w:r>
              <w:br/>
            </w:r>
          </w:p>
        </w:tc>
      </w:tr>
    </w:tbl>
    <w:p w:rsidR="7336D8A2" w:rsidP="6154B030" w:rsidRDefault="7336D8A2" w14:paraId="20B6E745" w14:textId="43ACB24F">
      <w:pPr>
        <w:pStyle w:val="Normal"/>
        <w:rPr>
          <w:rFonts w:ascii="Calibri" w:hAnsi="Calibri" w:eastAsia="Calibri" w:cs="Calibri" w:asciiTheme="minorAscii" w:hAnsiTheme="minorAscii" w:eastAsiaTheme="minorAscii" w:cstheme="minorAscii"/>
          <w:noProof w:val="0"/>
          <w:sz w:val="22"/>
          <w:szCs w:val="22"/>
          <w:lang w:val="da-DK"/>
        </w:rPr>
      </w:pPr>
      <w:r>
        <w:br/>
      </w:r>
      <w:r w:rsidRPr="6154B030" w:rsidR="6154B030">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t>Forberedelse til øvelsen</w:t>
      </w:r>
    </w:p>
    <w:p w:rsidR="7336D8A2" w:rsidP="6154B030" w:rsidRDefault="7336D8A2" w14:paraId="56B71606" w14:textId="17FD348D">
      <w:pPr>
        <w:spacing w:after="160" w:line="259" w:lineRule="auto"/>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pP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2 simple opskrifter med tilhørende redskabsliste. Opskrifterne skal være skrevet udførligt og med flest mulige fagtermer. </w:t>
      </w:r>
      <w:r>
        <w:br/>
      </w:r>
    </w:p>
    <w:p w:rsidR="7336D8A2" w:rsidP="6154B030" w:rsidRDefault="7336D8A2" w14:paraId="2D61D9EE" w14:textId="205DEA5D">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154B030" w:rsidR="6154B03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da-DK"/>
        </w:rPr>
        <w:t>Øvelsen</w:t>
      </w:r>
      <w:r>
        <w:br/>
      </w:r>
      <w:r w:rsidRPr="6154B030" w:rsidR="6154B030">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2"/>
          <w:szCs w:val="22"/>
          <w:lang w:val="da-DK"/>
        </w:rPr>
        <w:t>Før</w:t>
      </w:r>
      <w:r>
        <w:br/>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Ved øvelsens start forklares dagens opbygning og reglerne for øvelsen. Husk at tydeliggøre hvem der må hvad og hvor vigtigt det er at indgå i “legen”. Øvelsen er delt i 2 dele, som begge er af 1 times varighed.</w:t>
      </w:r>
      <w:r>
        <w:br/>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Eleverne deles i grupper af 2, hvor den ene er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none"/>
          <w:lang w:val="da-DK"/>
        </w:rPr>
        <w:t>hjerne</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og den anden er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2"/>
          <w:szCs w:val="22"/>
          <w:u w:val="none"/>
          <w:lang w:val="da-DK"/>
        </w:rPr>
        <w:t>hænder</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none"/>
          <w:lang w:val="da-DK"/>
        </w:rPr>
        <w:t>H</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none"/>
          <w:lang w:val="da-DK"/>
        </w:rPr>
        <w:t xml:space="preserve">jerne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må ikke afsløre opskriften eller sige hvilken ret, der skal laves, men kun beskrive processer f.eks. hakke løg osv.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2"/>
          <w:szCs w:val="22"/>
          <w:u w:val="none"/>
          <w:lang w:val="da-DK"/>
        </w:rPr>
        <w:t xml:space="preserve">Hænder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må kun svare </w:t>
      </w:r>
      <w:r w:rsidRPr="6154B030" w:rsidR="6154B030">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ja tak</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(forstået), </w:t>
      </w:r>
      <w:r w:rsidRPr="6154B030" w:rsidR="6154B030">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nej tak</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(ikke forstået) og </w:t>
      </w:r>
      <w:r w:rsidRPr="6154B030" w:rsidR="6154B030">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bag om</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(når man går bag nogen, et </w:t>
      </w:r>
      <w:proofErr w:type="gramStart"/>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sikkerheds udtryk</w:t>
      </w:r>
      <w:proofErr w:type="gramEnd"/>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w:t>
      </w:r>
    </w:p>
    <w:p w:rsidR="7336D8A2" w:rsidP="6154B030" w:rsidRDefault="7336D8A2" w14:paraId="0164965E" w14:textId="5EBB4D3A">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none"/>
          <w:lang w:val="da-DK"/>
        </w:rPr>
        <w:t xml:space="preserve">Hjerne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får 5 minutter til at læse og forstå opskriften. Her skal der være mulighed for at spørge læreren hvad forskellige fagudtryk betyder. </w:t>
      </w:r>
    </w:p>
    <w:p w:rsidR="7336D8A2" w:rsidP="6154B030" w:rsidRDefault="7336D8A2" w14:paraId="3A0BF85A" w14:textId="1CDA1918">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154B030" w:rsidR="6154B030">
        <w:rPr>
          <w:rFonts w:ascii="Calibri" w:hAnsi="Calibri" w:eastAsia="Calibri" w:cs="Calibri" w:asciiTheme="minorAscii" w:hAnsiTheme="minorAscii" w:eastAsiaTheme="minorAscii" w:cstheme="minorAscii"/>
          <w:b w:val="1"/>
          <w:bCs w:val="1"/>
          <w:i w:val="1"/>
          <w:iCs w:val="1"/>
          <w:caps w:val="0"/>
          <w:smallCaps w:val="0"/>
          <w:strike w:val="0"/>
          <w:dstrike w:val="0"/>
          <w:noProof w:val="0"/>
          <w:color w:val="000000" w:themeColor="text1" w:themeTint="FF" w:themeShade="FF"/>
          <w:sz w:val="22"/>
          <w:szCs w:val="22"/>
          <w:u w:val="none"/>
          <w:lang w:val="da-DK"/>
        </w:rPr>
        <w:t>Under</w:t>
      </w:r>
      <w:r>
        <w:br/>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Øvelsen går i gang og kører 1 time. Underviserens rolle er at sikre at eleverne overholder reglerne for legen.</w:t>
      </w:r>
      <w:r>
        <w:br/>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none"/>
          <w:lang w:val="da-DK"/>
        </w:rPr>
        <w:t xml:space="preserve">Hjerne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da-DK"/>
        </w:rPr>
        <w:t xml:space="preserve">fortæller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2"/>
          <w:szCs w:val="22"/>
          <w:u w:val="none"/>
          <w:lang w:val="da-DK"/>
        </w:rPr>
        <w:t xml:space="preserve">hænder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da-DK"/>
        </w:rPr>
        <w:t xml:space="preserve">hvilke redskaber, metoder og anretning der skal anvendes.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none"/>
          <w:lang w:val="da-DK"/>
        </w:rPr>
        <w:t xml:space="preserve">Hjerne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da-DK"/>
        </w:rPr>
        <w:t xml:space="preserve">må ikke selv deltage i tilberedningen, anretningen eller hente redskaber. </w:t>
      </w:r>
      <w:r>
        <w:br/>
      </w:r>
      <w:r w:rsidRPr="6154B030" w:rsidR="1EC3CBA5">
        <w:rPr>
          <w:rFonts w:ascii="Calibri" w:hAnsi="Calibri" w:eastAsia="Calibri" w:cs="Calibri" w:asciiTheme="minorAscii" w:hAnsiTheme="minorAscii" w:eastAsiaTheme="minorAscii" w:cstheme="minorAscii"/>
          <w:noProof w:val="0"/>
          <w:color w:val="4472C4" w:themeColor="accent1" w:themeTint="FF" w:themeShade="FF"/>
          <w:sz w:val="22"/>
          <w:szCs w:val="22"/>
          <w:lang w:val="da-DK"/>
        </w:rPr>
        <w:t>Hjerne</w:t>
      </w:r>
      <w:r w:rsidRPr="6154B030" w:rsidR="1EC3CBA5">
        <w:rPr>
          <w:rFonts w:ascii="Calibri" w:hAnsi="Calibri" w:eastAsia="Calibri" w:cs="Calibri" w:asciiTheme="minorAscii" w:hAnsiTheme="minorAscii" w:eastAsiaTheme="minorAscii" w:cstheme="minorAscii"/>
          <w:noProof w:val="0"/>
          <w:color w:val="4472C4" w:themeColor="accent1" w:themeTint="FF" w:themeShade="FF"/>
          <w:sz w:val="22"/>
          <w:szCs w:val="22"/>
          <w:lang w:val="da-DK"/>
        </w:rPr>
        <w:t xml:space="preserve"> </w:t>
      </w:r>
      <w:r w:rsidRPr="6154B030" w:rsidR="1EC3CBA5">
        <w:rPr>
          <w:rFonts w:ascii="Calibri" w:hAnsi="Calibri" w:eastAsia="Calibri" w:cs="Calibri" w:asciiTheme="minorAscii" w:hAnsiTheme="minorAscii" w:eastAsiaTheme="minorAscii" w:cstheme="minorAscii"/>
          <w:noProof w:val="0"/>
          <w:color w:val="000000" w:themeColor="text1" w:themeTint="FF" w:themeShade="FF"/>
          <w:sz w:val="22"/>
          <w:szCs w:val="22"/>
          <w:lang w:val="da-DK"/>
        </w:rPr>
        <w:t>har ansvar for og sørger for anvisninger til god hygiejne og orden på partiet.</w:t>
      </w:r>
      <w:r>
        <w:br/>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Øvelsen afsluttes ved en fælles aflevering for alle grupper. Her skal læreren holde fokus på hvad forskellene mellem grupperne er, for at tydeliggøre hvad kommunikation kan gøre. </w:t>
      </w:r>
      <w:r>
        <w:br/>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Både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none"/>
          <w:lang w:val="da-DK"/>
        </w:rPr>
        <w:t xml:space="preserve">hjerne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og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2"/>
          <w:szCs w:val="22"/>
          <w:u w:val="none"/>
          <w:lang w:val="da-DK"/>
        </w:rPr>
        <w:t>hænder</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rydder op.</w:t>
      </w:r>
      <w:r>
        <w:br/>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10 minutters pause</w:t>
      </w:r>
    </w:p>
    <w:p w:rsidR="7336D8A2" w:rsidP="6154B030" w:rsidRDefault="7336D8A2" w14:paraId="5322EC57" w14:textId="1120B4A6">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Dem der var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4472C4" w:themeColor="accent1" w:themeTint="FF" w:themeShade="FF"/>
          <w:sz w:val="22"/>
          <w:szCs w:val="22"/>
          <w:u w:val="none"/>
          <w:lang w:val="da-DK"/>
        </w:rPr>
        <w:t xml:space="preserve">hjerne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før skifter til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2"/>
          <w:szCs w:val="22"/>
          <w:u w:val="none"/>
          <w:lang w:val="da-DK"/>
        </w:rPr>
        <w:t>hænder</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så alle elever prøver begge funktioner. Eleverne sættes i nye grupper. Der gives en ny opskrift og øvelsen laves igen. </w:t>
      </w:r>
    </w:p>
    <w:p w:rsidR="6154B030" w:rsidP="6154B030" w:rsidRDefault="6154B030" w14:paraId="17825F0C" w14:textId="10018E77">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154B030" w:rsidR="6154B030">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t>Hvad er vigtigt?</w:t>
      </w:r>
    </w:p>
    <w:p w:rsidR="6154B030" w:rsidP="6154B030" w:rsidRDefault="6154B030" w14:paraId="39B8D848" w14:textId="3FB6D406">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At reglerne for hvem, der må hvad og hvad der må siges overholdes. </w:t>
      </w:r>
    </w:p>
    <w:p w:rsidR="6154B030" w:rsidP="6154B030" w:rsidRDefault="6154B030" w14:paraId="6BC5EF41" w14:textId="719F9593">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none"/>
          <w:lang w:val="da-DK"/>
        </w:rPr>
      </w:pP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At der fokus på kommunikationen og at det producerede bruges til at illustrere dette. F.eks. </w:t>
      </w:r>
      <w:r w:rsidRPr="6154B030" w:rsidR="6154B030">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000000" w:themeColor="text1" w:themeTint="FF" w:themeShade="FF"/>
          <w:sz w:val="22"/>
          <w:szCs w:val="22"/>
          <w:u w:val="none"/>
          <w:lang w:val="da-DK"/>
        </w:rPr>
        <w:t>kan det være at løgene skulle være fint hakkede, men i retten er de groft hakkende pga. manglende tydelig kommunikation.</w:t>
      </w:r>
    </w:p>
    <w:p w:rsidR="6154B030" w:rsidP="6154B030" w:rsidRDefault="6154B030" w14:paraId="265DEFCB" w14:textId="5E63E24D">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Under evalueringen skal eleverne have mulighed for at spørge ind til evt. fagudtryk de ikke har forstået under øvelsen. </w:t>
      </w:r>
      <w:r>
        <w:br/>
      </w:r>
    </w:p>
    <w:p w:rsidR="6154B030" w:rsidP="6154B030" w:rsidRDefault="6154B030" w14:paraId="2D47800B" w14:textId="26F773C5">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rsidRPr="6154B030" w:rsidR="6154B030">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t xml:space="preserve">Differentiering </w:t>
      </w:r>
    </w:p>
    <w:p w:rsidR="6154B030" w:rsidP="6154B030" w:rsidRDefault="6154B030" w14:paraId="77C4010B" w14:textId="5FA158BA">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pP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Anden gang øvelsen laves kan man tilføje at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FF0000"/>
          <w:sz w:val="22"/>
          <w:szCs w:val="22"/>
          <w:u w:val="none"/>
          <w:lang w:val="da-DK"/>
        </w:rPr>
        <w:t>hænder</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må sige “hvordan”. Nu må hænderne sige ja tak, nej tak, bag om og hvordan. Det gør at hænderne kan bede om at få tydeliggjort </w:t>
      </w:r>
      <w:proofErr w:type="spellStart"/>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f.eks</w:t>
      </w:r>
      <w:proofErr w:type="spellEnd"/>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 hvordan løgene skal hakkes. Hænderne bliver en mere aktiv del af øvelsen. </w:t>
      </w:r>
      <w:r>
        <w:br/>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Der kan vælges en mere kompliceret opskrift og dermed kan øvelsen forlænges.</w:t>
      </w:r>
      <w:r>
        <w:br/>
      </w:r>
      <w:r>
        <w:br/>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Tredje gang kan der tilføjes ordet “hvorfor”. Nu må hænderne sige ja tak, nej tak, bag om, hvordan og hvorfor. Nu skal hjernen kunne svare på, hvorfor noget gøres. Det kræver at hjernen har forstået opskriften ordentligt og har et klart billede af </w:t>
      </w:r>
      <w:r w:rsidRPr="6154B030" w:rsidR="6154B0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2"/>
          <w:szCs w:val="22"/>
          <w:u w:val="none"/>
          <w:lang w:val="da-DK"/>
        </w:rPr>
        <w:t xml:space="preserve">hvordan retten skal ende inden øvelsen påbegyndes. </w:t>
      </w:r>
    </w:p>
    <w:p w:rsidR="6154B030" w:rsidP="6154B030" w:rsidRDefault="6154B030" w14:paraId="14BED39B" w14:textId="51DF3F1E">
      <w:pPr>
        <w:pStyle w:val="Normal"/>
        <w:rPr>
          <w:rFonts w:ascii="Calibri" w:hAnsi="Calibri" w:eastAsia="Calibri" w:cs="Calibri" w:asciiTheme="minorAscii" w:hAnsiTheme="minorAscii" w:eastAsiaTheme="minorAscii" w:cstheme="minorAscii"/>
          <w:b w:val="1"/>
          <w:bCs w:val="1"/>
          <w:noProof w:val="0"/>
          <w:color w:val="000000" w:themeColor="text1" w:themeTint="FF" w:themeShade="FF"/>
          <w:sz w:val="34"/>
          <w:szCs w:val="34"/>
          <w:lang w:val="da-DK"/>
        </w:rPr>
      </w:pPr>
    </w:p>
    <w:p xmlns:wp14="http://schemas.microsoft.com/office/word/2010/wordml" w:rsidP="6154B030" w14:paraId="205A6F2F" wp14:textId="62FAD275">
      <w:pPr>
        <w:pStyle w:val="Normal"/>
        <w:rPr>
          <w:rFonts w:ascii="Calibri" w:hAnsi="Calibri" w:eastAsia="Calibri" w:cs="Calibri" w:asciiTheme="minorAscii" w:hAnsiTheme="minorAscii" w:eastAsiaTheme="minorAscii" w:cstheme="minorAscii"/>
          <w:sz w:val="34"/>
          <w:szCs w:val="3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804A71"/>
    <w:rsid w:val="0272C27A"/>
    <w:rsid w:val="0622A06B"/>
    <w:rsid w:val="066B95DD"/>
    <w:rsid w:val="0A523733"/>
    <w:rsid w:val="0A7DD45F"/>
    <w:rsid w:val="0EB88691"/>
    <w:rsid w:val="0F400AAB"/>
    <w:rsid w:val="1040DAFA"/>
    <w:rsid w:val="10D3ED86"/>
    <w:rsid w:val="1EC3CBA5"/>
    <w:rsid w:val="24FC4CA8"/>
    <w:rsid w:val="2A82393A"/>
    <w:rsid w:val="2D0F4C13"/>
    <w:rsid w:val="2EAB1C74"/>
    <w:rsid w:val="31DACFB0"/>
    <w:rsid w:val="31E2BD36"/>
    <w:rsid w:val="337E8D97"/>
    <w:rsid w:val="35127072"/>
    <w:rsid w:val="3851FEBA"/>
    <w:rsid w:val="39804A71"/>
    <w:rsid w:val="3D500F7F"/>
    <w:rsid w:val="3E62B7EB"/>
    <w:rsid w:val="3E62B7EB"/>
    <w:rsid w:val="405D109F"/>
    <w:rsid w:val="42D37B96"/>
    <w:rsid w:val="42ECA3F3"/>
    <w:rsid w:val="453081C2"/>
    <w:rsid w:val="4B9FC346"/>
    <w:rsid w:val="4CC3E2F7"/>
    <w:rsid w:val="4DC3625A"/>
    <w:rsid w:val="4E96D622"/>
    <w:rsid w:val="4FCB26FB"/>
    <w:rsid w:val="56214022"/>
    <w:rsid w:val="5A44B651"/>
    <w:rsid w:val="6154B030"/>
    <w:rsid w:val="633B9E9E"/>
    <w:rsid w:val="68ADCEE3"/>
    <w:rsid w:val="6D892D8C"/>
    <w:rsid w:val="6DEBDB04"/>
    <w:rsid w:val="6F8417ED"/>
    <w:rsid w:val="7336D8A2"/>
    <w:rsid w:val="749B51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4A71"/>
  <w15:chartTrackingRefBased/>
  <w15:docId w15:val="{AD8360A9-89BD-42C8-9533-352F031BBE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c6131ee295c49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7092AA68F1E04081BEEA97BE7C3C67" ma:contentTypeVersion="2" ma:contentTypeDescription="Opret et nyt dokument." ma:contentTypeScope="" ma:versionID="89e1164f25e9a566eb06e87344afb5b9">
  <xsd:schema xmlns:xsd="http://www.w3.org/2001/XMLSchema" xmlns:xs="http://www.w3.org/2001/XMLSchema" xmlns:p="http://schemas.microsoft.com/office/2006/metadata/properties" xmlns:ns2="86f1db48-5316-4622-9c70-023e1e040322" targetNamespace="http://schemas.microsoft.com/office/2006/metadata/properties" ma:root="true" ma:fieldsID="84b81e498e477f1c03ac7ec865e745e2" ns2:_="">
    <xsd:import namespace="86f1db48-5316-4622-9c70-023e1e0403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db48-5316-4622-9c70-023e1e040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7408C-153A-445C-8C0F-4BE31659F9DD}"/>
</file>

<file path=customXml/itemProps2.xml><?xml version="1.0" encoding="utf-8"?>
<ds:datastoreItem xmlns:ds="http://schemas.openxmlformats.org/officeDocument/2006/customXml" ds:itemID="{90287071-AA91-42E7-B906-F0AB974B9DAC}"/>
</file>

<file path=customXml/itemProps3.xml><?xml version="1.0" encoding="utf-8"?>
<ds:datastoreItem xmlns:ds="http://schemas.openxmlformats.org/officeDocument/2006/customXml" ds:itemID="{4BA84891-0CB9-498D-ABDF-0A652C0F8C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Schmidt Feiring</dc:creator>
  <cp:keywords/>
  <dc:description/>
  <cp:lastModifiedBy>Jeppe Skram Kielberg</cp:lastModifiedBy>
  <dcterms:created xsi:type="dcterms:W3CDTF">2022-04-04T09:09:52Z</dcterms:created>
  <dcterms:modified xsi:type="dcterms:W3CDTF">2022-06-22T10:48:17Z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0x0101005A7092AA68F1E04081BEEA97BE7C3C67</vt:lpwstr>
  </property>
</Properties>
</file>